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96AF" w14:textId="2D328C3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C54555D" w14:textId="5716A0FD" w:rsidR="005139C2" w:rsidRPr="00B37FE8" w:rsidRDefault="00FA405F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вадцат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восьмая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сессия шестого созыва</w:t>
      </w:r>
    </w:p>
    <w:p w14:paraId="2A5BB59A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52AAD1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14:paraId="4D6FCD8C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2D417C" w14:textId="2A56155C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11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                 № </w:t>
      </w:r>
      <w:r w:rsidR="00FA4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713AE310" w:rsidR="005139C2" w:rsidRPr="00B37FE8" w:rsidRDefault="005139C2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</w:t>
      </w:r>
      <w:r w:rsidR="00BD76EB" w:rsidRP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</w:t>
      </w: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утвержденн</w:t>
      </w:r>
      <w:r w:rsid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ые</w:t>
      </w: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05.04.2017</w:t>
      </w: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№ </w:t>
      </w:r>
      <w:r w:rsidR="00BD76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275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28C36EAC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 </w:t>
      </w:r>
      <w:bookmarkStart w:id="0" w:name="_Hlk92782171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bookmarkStart w:id="1" w:name="_Hlk92782203"/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05.04.2017 </w:t>
      </w:r>
      <w:r w:rsidR="000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275</w:t>
      </w:r>
      <w:bookmarkEnd w:id="1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руководствуясь Уставом 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7B6B2305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в </w:t>
      </w:r>
      <w:r w:rsidR="008C15E1" w:rsidRPr="008C1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05.04.2017 № 275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(согласно приложению).</w:t>
      </w:r>
    </w:p>
    <w:p w14:paraId="4E603B75" w14:textId="608C6719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Направить изменения в </w:t>
      </w:r>
      <w:r w:rsidR="00A23C60" w:rsidRPr="00A23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главе администрации сельского поселения Кузьмино-Отвержский сельсовет Липецкого муниципального района для подписания и </w:t>
      </w:r>
      <w:r w:rsidR="00CA5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5D025" w14:textId="05567A2A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562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31D8EC75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proofErr w:type="spellStart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  <w:proofErr w:type="spellEnd"/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5715A81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DD9D5" w14:textId="7DFAC706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B21AC2" w14:textId="03B93569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7578F8" w14:textId="32AE8A07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F1F067" w14:textId="77777777" w:rsidR="00AF3F0B" w:rsidRDefault="00AF3F0B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F3CEFF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3594EAC4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</w:t>
      </w:r>
      <w:r w:rsidR="00DA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17.01.2022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DA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62D577" w14:textId="77777777" w:rsidR="004979AE" w:rsidRDefault="005139C2" w:rsidP="005139C2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Изменения </w:t>
      </w:r>
    </w:p>
    <w:p w14:paraId="0619B2EF" w14:textId="2E69C2CC" w:rsidR="005139C2" w:rsidRPr="00B37FE8" w:rsidRDefault="005139C2" w:rsidP="005139C2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4979AE" w:rsidRPr="00497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2F22FE0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4C981831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</w:t>
      </w:r>
      <w:r w:rsidR="0075533D" w:rsidRPr="00755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Кузьмино-Отвержский сельсовет Липецкого муниципального района Липецкой области Российской Федерации,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05.04.2017 № 275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следующие изменения:</w:t>
      </w:r>
    </w:p>
    <w:p w14:paraId="43CDDF5D" w14:textId="7A29B0E6" w:rsidR="005139C2" w:rsidRDefault="009159DF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Часть 1 </w:t>
      </w:r>
      <w:r w:rsidR="0037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71376" w:rsidRPr="0037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нормативы градостроительного проектирования сельского поселения Кузьмино - Отвержский сельсовет Липецкого муниципального района Липецкой области</w:t>
      </w:r>
      <w:r w:rsidR="0037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пунктом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139C2"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следующего содержания:</w:t>
      </w:r>
    </w:p>
    <w:p w14:paraId="73D29EED" w14:textId="0EF29B4A" w:rsidR="00371376" w:rsidRPr="009256C3" w:rsidRDefault="009256C3" w:rsidP="009256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256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59DF" w:rsidRPr="009256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71376" w:rsidRPr="009256C3">
        <w:rPr>
          <w:rFonts w:ascii="Times New Roman" w:hAnsi="Times New Roman" w:cs="Times New Roman"/>
          <w:sz w:val="28"/>
          <w:szCs w:val="28"/>
          <w:lang w:eastAsia="ru-RU" w:bidi="ru-RU"/>
        </w:rPr>
        <w:t>1.8. Требования к проектированию и обеспеченности населения велосипедными дорожками и полосами для велосипедистов</w:t>
      </w:r>
      <w:r w:rsidRPr="009256C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D719F07" w14:textId="3866CFA5" w:rsidR="00371376" w:rsidRPr="009256C3" w:rsidRDefault="009256C3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56C3">
        <w:rPr>
          <w:rFonts w:ascii="Times New Roman" w:hAnsi="Times New Roman" w:cs="Times New Roman"/>
          <w:spacing w:val="2"/>
          <w:sz w:val="28"/>
          <w:szCs w:val="28"/>
        </w:rPr>
        <w:tab/>
        <w:t xml:space="preserve">1.8.1.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</w:rPr>
        <w:t>Основные положения</w:t>
      </w:r>
    </w:p>
    <w:p w14:paraId="0AEECE40" w14:textId="07792FB4" w:rsidR="00371376" w:rsidRPr="009256C3" w:rsidRDefault="009256C3" w:rsidP="009256C3">
      <w:pPr>
        <w:pStyle w:val="a5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256C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1.8.1.1. </w:t>
      </w:r>
      <w:r w:rsidR="00371376" w:rsidRPr="009256C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Улично-дорожную сеть населенных пунктов (далее- УДС)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26909200" w14:textId="77777777" w:rsidR="009256C3" w:rsidRDefault="009256C3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1.8.1.2.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Пешеходные, велосипедные и </w:t>
      </w:r>
      <w:proofErr w:type="spellStart"/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велопешеходные</w:t>
      </w:r>
      <w:proofErr w:type="spellEnd"/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дорожки должны проектироваться вдоль автомобильных дорог общего пользования.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1.8.1.3.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14:paraId="79E1A82A" w14:textId="01BE1075" w:rsidR="00371376" w:rsidRPr="009256C3" w:rsidRDefault="009256C3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1.8.1.4.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1.8.1.5.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1.8.1.6.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14:paraId="60FD3F74" w14:textId="3073E21F" w:rsidR="00371376" w:rsidRPr="009256C3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1.8.2.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</w:rPr>
        <w:t>Проектирование велосипедных дорожек</w:t>
      </w:r>
    </w:p>
    <w:p w14:paraId="39C69493" w14:textId="77777777" w:rsidR="00893EB9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1.8.2.1.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14:paraId="0B229509" w14:textId="77777777" w:rsidR="00893EB9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1.8.2.2.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6E782A11" w14:textId="0DE6EF7C" w:rsidR="00371376" w:rsidRPr="009256C3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1.8.2.3.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14:paraId="12F2C1B8" w14:textId="59DA3416" w:rsidR="00371376" w:rsidRPr="009256C3" w:rsidRDefault="00893EB9" w:rsidP="009256C3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1.8.2.4. </w:t>
      </w:r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Велосипедные и </w:t>
      </w:r>
      <w:proofErr w:type="spellStart"/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велопешеходные</w:t>
      </w:r>
      <w:proofErr w:type="spellEnd"/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сут</w:t>
      </w:r>
      <w:proofErr w:type="spellEnd"/>
      <w:r w:rsidR="00371376" w:rsidRPr="009256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(до 150 авт./ч).</w:t>
      </w:r>
    </w:p>
    <w:p w14:paraId="05FE66EB" w14:textId="230D04AA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111"/>
        <w:gridCol w:w="985"/>
        <w:gridCol w:w="858"/>
        <w:gridCol w:w="1029"/>
        <w:gridCol w:w="903"/>
      </w:tblGrid>
      <w:tr w:rsidR="00371376" w:rsidRPr="00371376" w14:paraId="36650D71" w14:textId="77777777" w:rsidTr="007F377F">
        <w:trPr>
          <w:trHeight w:val="12"/>
        </w:trPr>
        <w:tc>
          <w:tcPr>
            <w:tcW w:w="5914" w:type="dxa"/>
            <w:hideMark/>
          </w:tcPr>
          <w:p w14:paraId="0BBF0C42" w14:textId="77777777" w:rsidR="00371376" w:rsidRPr="00371376" w:rsidRDefault="00371376" w:rsidP="003713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3B45ED02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04A245F0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6061C45A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21B6AB6E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77DB62AA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6012D625" w14:textId="77777777" w:rsidTr="007F37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1814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9DA8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18DC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8636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B5AE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A8DE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371376" w:rsidRPr="00371376" w14:paraId="42929BF3" w14:textId="77777777" w:rsidTr="007F37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E339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интенсивность движения велосипедистов, </w:t>
            </w:r>
            <w:proofErr w:type="gramStart"/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вел./</w:t>
            </w:r>
            <w:proofErr w:type="gramEnd"/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F6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8949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8783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87AE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0784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14:paraId="0D758B8D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7A16E4F" w14:textId="1D2F8960" w:rsidR="00893EB9" w:rsidRDefault="00893EB9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</w:t>
      </w:r>
      <w:r w:rsidR="002B4C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8.2.5.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Геометрические параметры велосипедных дорожек представлены в таблице 2.</w:t>
      </w:r>
    </w:p>
    <w:p w14:paraId="717764A1" w14:textId="3711B3F4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Таблица 2 - Основные геометрические параметры велосипедной дорожки</w:t>
      </w:r>
    </w:p>
    <w:p w14:paraId="0C5C6E7A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771"/>
        <w:gridCol w:w="1771"/>
      </w:tblGrid>
      <w:tr w:rsidR="00371376" w:rsidRPr="00371376" w14:paraId="374ACA3A" w14:textId="77777777" w:rsidTr="007F377F"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E6B5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Нормируемый параметр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83ED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значения</w:t>
            </w:r>
          </w:p>
        </w:tc>
      </w:tr>
      <w:tr w:rsidR="00371376" w:rsidRPr="00371376" w14:paraId="40F34E75" w14:textId="77777777" w:rsidTr="007F377F"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3CF693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47A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при новом строительстве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F0B6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 стесненных условиях</w:t>
            </w:r>
          </w:p>
        </w:tc>
      </w:tr>
      <w:tr w:rsidR="00371376" w:rsidRPr="00371376" w14:paraId="78B35556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5115BE43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0EF6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DEF5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71376" w:rsidRPr="00371376" w14:paraId="7EFEA55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12DDACB2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5D36E43B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1DDE94C9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5480D871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0A197E3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0F0B5FF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26C6C3B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0,75 - 1,0</w:t>
            </w:r>
          </w:p>
        </w:tc>
      </w:tr>
      <w:tr w:rsidR="00371376" w:rsidRPr="00371376" w14:paraId="26262E2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DFC4C0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двухполосного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02FE893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9E375A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1,50</w:t>
            </w:r>
          </w:p>
        </w:tc>
      </w:tr>
      <w:tr w:rsidR="00371376" w:rsidRPr="00371376" w14:paraId="1DFE4303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21C4DFC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двухполосного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8CA118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B0EB339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</w:p>
        </w:tc>
      </w:tr>
      <w:tr w:rsidR="00371376" w:rsidRPr="00371376" w14:paraId="4FE84D5E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3E5D917F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26A392F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1,5 - 6,0 </w:t>
            </w:r>
            <w:hyperlink w:anchor="P84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C4937A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1,5 - 3,25 </w:t>
            </w:r>
            <w:hyperlink w:anchor="P85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371376" w:rsidRPr="00371376" w14:paraId="57BD8740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1DECF162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велопешеходной</w:t>
            </w:r>
            <w:proofErr w:type="spellEnd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5F4F519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1,5 - 3,0 </w:t>
            </w:r>
            <w:hyperlink w:anchor="P86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16B9846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1,5 - 2,0 </w:t>
            </w:r>
            <w:hyperlink w:anchor="P87" w:history="1">
              <w:r w:rsidRPr="0037137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371376" w:rsidRPr="00371376" w14:paraId="44A1048C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1CFA8994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527CB8BF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5C86A4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</w:tr>
      <w:tr w:rsidR="00371376" w:rsidRPr="00371376" w14:paraId="0852CA32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70384CE4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Ширина обочин велосипедной дорожки,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AC575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5F27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1376" w:rsidRPr="00371376" w14:paraId="6DB7BA98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B239E47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507BF9E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3F2E491D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45633AD5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3C7E49F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3E9309F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33FB291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71376" w:rsidRPr="00371376" w14:paraId="645D7142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0AD4C610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FBF0EA2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7FA126E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71376" w:rsidRPr="00371376" w14:paraId="5E1C7DA0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FCEE3F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F0D5A2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6E481362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5749F319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060C5A0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2E6EF3A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074436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371376" w:rsidRPr="00371376" w14:paraId="6E037CD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4AFFE08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5555315F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053E84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71376" w:rsidRPr="00371376" w14:paraId="7FCB310A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16D8CD53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Наибольший продольный уклон, </w:t>
            </w:r>
            <w:r w:rsidRPr="00371376">
              <w:rPr>
                <w:rFonts w:ascii="Times New Roman" w:eastAsia="Calibri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62BF848E" wp14:editId="684D2289">
                  <wp:extent cx="238125" cy="219075"/>
                  <wp:effectExtent l="0" t="0" r="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1649A9D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2304876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722F3F4D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3125366F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BA6061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2B44319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50 - 70</w:t>
            </w:r>
          </w:p>
        </w:tc>
      </w:tr>
      <w:tr w:rsidR="00371376" w:rsidRPr="00371376" w14:paraId="54350F79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199C57D3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1DE1EE08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7F755B1B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71376" w:rsidRPr="00371376" w14:paraId="6DF85286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129F67C2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уклон проезжей части, </w:t>
            </w:r>
            <w:r w:rsidRPr="00371376">
              <w:rPr>
                <w:rFonts w:ascii="Times New Roman" w:eastAsia="Calibri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7232D1A2" wp14:editId="22A13B53">
                  <wp:extent cx="238125" cy="219075"/>
                  <wp:effectExtent l="0" t="0" r="0" b="0"/>
                  <wp:docPr id="5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C25F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8455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71376" w:rsidRPr="00371376" w14:paraId="04BA2343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14:paraId="6A82C28F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Уклон виража, </w:t>
            </w:r>
            <w:r w:rsidRPr="00371376">
              <w:rPr>
                <w:rFonts w:ascii="Times New Roman" w:eastAsia="Calibri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1E6DA237" wp14:editId="6EF4E142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,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356EC6BC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75CAEB8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45B5AF1C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73E78200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5 - 10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37330D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5255EE1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71376" w:rsidRPr="00371376" w14:paraId="560CA9D4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660BA90D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10 - 20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6861366E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74720A9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71376" w:rsidRPr="00371376" w14:paraId="1C4349C1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14:paraId="3EDC10BE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20 - 50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1B7B23FD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5E206804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15 - 20</w:t>
            </w:r>
          </w:p>
        </w:tc>
      </w:tr>
      <w:tr w:rsidR="00371376" w:rsidRPr="00371376" w14:paraId="56354225" w14:textId="77777777" w:rsidTr="007F377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14:paraId="5C7144F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50 - 100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006F4EAA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9297333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771284BE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543769D8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Габарит по высоте,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46C97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6D6FE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2,25</w:t>
            </w:r>
          </w:p>
        </w:tc>
      </w:tr>
      <w:tr w:rsidR="00371376" w:rsidRPr="00371376" w14:paraId="4652F6FD" w14:textId="77777777" w:rsidTr="007F377F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1C7B6F40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7B866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A0C35" w14:textId="77777777" w:rsidR="00371376" w:rsidRPr="00371376" w:rsidRDefault="00371376" w:rsidP="0037137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</w:tc>
      </w:tr>
      <w:tr w:rsidR="00371376" w:rsidRPr="00371376" w14:paraId="112F662F" w14:textId="77777777" w:rsidTr="007F377F"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A286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84"/>
            <w:bookmarkEnd w:id="2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&lt;1&gt; Ширина пешеходной дорожки 1,5 м, велосипедной - 2,5 м.</w:t>
            </w:r>
          </w:p>
          <w:p w14:paraId="074D68EA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85"/>
            <w:bookmarkEnd w:id="3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&lt;2&gt; Ширина пешеходной дорожки 1,5 м, велосипедной - 1,75 м.</w:t>
            </w:r>
          </w:p>
          <w:p w14:paraId="3FBE9CF8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86"/>
            <w:bookmarkEnd w:id="4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&lt;3&gt; При интенсивности движения не более 30 </w:t>
            </w:r>
            <w:proofErr w:type="gramStart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вел./</w:t>
            </w:r>
            <w:proofErr w:type="gramEnd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ч и 15 пеш./ч.</w:t>
            </w:r>
          </w:p>
          <w:p w14:paraId="0E98A645" w14:textId="77777777" w:rsidR="00371376" w:rsidRPr="00371376" w:rsidRDefault="00371376" w:rsidP="00371376">
            <w:pPr>
              <w:spacing w:after="1" w:line="240" w:lineRule="atLeast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87"/>
            <w:bookmarkEnd w:id="5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&lt;4&gt; При интенсивности движения не более 30 </w:t>
            </w:r>
            <w:proofErr w:type="gramStart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вел./</w:t>
            </w:r>
            <w:proofErr w:type="gramEnd"/>
            <w:r w:rsidRPr="00371376">
              <w:rPr>
                <w:rFonts w:ascii="Times New Roman" w:eastAsia="Calibri" w:hAnsi="Times New Roman" w:cs="Times New Roman"/>
                <w:sz w:val="28"/>
                <w:szCs w:val="28"/>
              </w:rPr>
              <w:t>ч и 50 пеш./ч.</w:t>
            </w:r>
          </w:p>
        </w:tc>
      </w:tr>
    </w:tbl>
    <w:p w14:paraId="626FC6A1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523F91C" w14:textId="4AAC46C2" w:rsidR="00371376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1.8.2.6.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Стесненные условия существующей застройки предполагают: наличие пространственных препятствий на строительной площадке и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 населения.</w:t>
      </w:r>
    </w:p>
    <w:p w14:paraId="4E195364" w14:textId="1C8B0770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1.8.2.7.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Велосипедные дорожки следует проектировать как для двустороннего движения (при интенсивности движения до 70 </w:t>
      </w:r>
      <w:proofErr w:type="gramStart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вел./</w:t>
      </w:r>
      <w:proofErr w:type="gramEnd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ч), так и для одностороннего (при интенсивности движения более 70 вел./ч).</w:t>
      </w:r>
    </w:p>
    <w:p w14:paraId="01C00F85" w14:textId="77777777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1.8.2.8.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1.8.2.9.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</w:p>
    <w:p w14:paraId="1238F1D6" w14:textId="77777777" w:rsidR="00371376" w:rsidRPr="00B026C4" w:rsidRDefault="00371376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A24B8D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976"/>
        <w:gridCol w:w="1130"/>
        <w:gridCol w:w="1130"/>
        <w:gridCol w:w="1008"/>
        <w:gridCol w:w="1082"/>
        <w:gridCol w:w="960"/>
      </w:tblGrid>
      <w:tr w:rsidR="00371376" w:rsidRPr="00371376" w14:paraId="7BABD5A2" w14:textId="77777777" w:rsidTr="007F377F">
        <w:trPr>
          <w:trHeight w:val="12"/>
        </w:trPr>
        <w:tc>
          <w:tcPr>
            <w:tcW w:w="4066" w:type="dxa"/>
            <w:hideMark/>
          </w:tcPr>
          <w:p w14:paraId="46392B87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1A47A294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4934B4A6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06031694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3F85F02D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105BC1F9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14:paraId="2B2D15D8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233FBB0B" w14:textId="77777777" w:rsidTr="007F377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A3B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населения, </w:t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83A5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2B81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CB20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5A8E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E80C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E8B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25-10</w:t>
            </w:r>
          </w:p>
        </w:tc>
      </w:tr>
      <w:tr w:rsidR="00371376" w:rsidRPr="00371376" w14:paraId="77CDEEB0" w14:textId="77777777" w:rsidTr="007F377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74BC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295F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EFC1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8F6E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42CB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468E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9730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</w:t>
            </w:r>
          </w:p>
        </w:tc>
      </w:tr>
    </w:tbl>
    <w:p w14:paraId="324AC369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ACABA58" w14:textId="7BAD490B" w:rsidR="00371376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1.8.2.10.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1.8.2.11.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</w:t>
      </w:r>
      <w:proofErr w:type="gramStart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вел./</w:t>
      </w:r>
      <w:proofErr w:type="gramEnd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1.8.2.12.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376" w:rsidRPr="00371376">
        <w:rPr>
          <w:lang w:eastAsia="ru-RU"/>
        </w:rPr>
        <w:br/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07"/>
        <w:gridCol w:w="2007"/>
        <w:gridCol w:w="2007"/>
        <w:gridCol w:w="1584"/>
      </w:tblGrid>
      <w:tr w:rsidR="00371376" w:rsidRPr="00371376" w14:paraId="02A51489" w14:textId="77777777" w:rsidTr="007F377F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14:paraId="2E5BA181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0C4F9C0C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65222517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69F5CE0D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15EEBBBE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376" w:rsidRPr="00371376" w14:paraId="58A9B93F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17B3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02C8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371376" w:rsidRPr="00371376" w14:paraId="210AE5D1" w14:textId="77777777" w:rsidTr="007F377F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47D2F" w14:textId="77777777" w:rsidR="00371376" w:rsidRPr="00371376" w:rsidRDefault="00371376" w:rsidP="00371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318A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517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87A5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A494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71376" w:rsidRPr="00371376" w14:paraId="0445015D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F4A7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93C6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0297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B9F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4A0A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71376" w:rsidRPr="00371376" w14:paraId="5447C66B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2119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8DE2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C53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0F3C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3D0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371376" w:rsidRPr="00371376" w14:paraId="6BD9C652" w14:textId="77777777" w:rsidTr="007F37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3E27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3E92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3D1D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6BF3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24FB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</w:tbl>
    <w:p w14:paraId="1C9A2EA1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9DDA939" w14:textId="2FB0498A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1.8.2.13.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14:paraId="5F04C137" w14:textId="77777777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1.8.2.14.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14:paraId="50E27229" w14:textId="77777777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1.8.2.15.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14:paraId="47A3A73A" w14:textId="27DC8EAB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1.8.2.16.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Покрытия велосипедных дорожек следует устраивать из асфальтобетона, </w:t>
      </w:r>
      <w:proofErr w:type="spellStart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 и каменных материалов, обработанных вяжущими, а при проектировании </w:t>
      </w:r>
      <w:proofErr w:type="spellStart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7" w:history="1">
        <w:r w:rsidR="00371376" w:rsidRPr="00B026C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ГОСТ 32753</w:t>
        </w:r>
      </w:hyperlink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1.8.2.17. </w:t>
      </w:r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обустройстве </w:t>
      </w:r>
      <w:proofErr w:type="spellStart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371376"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14:paraId="2CA06C59" w14:textId="7285BE33" w:rsidR="00B026C4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>1.8.2.18.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14:paraId="21696967" w14:textId="3ECB0AE4" w:rsidR="00B026C4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1.8.2.19. </w:t>
      </w:r>
      <w:proofErr w:type="spellStart"/>
      <w:r w:rsidRPr="00B026C4">
        <w:rPr>
          <w:rFonts w:ascii="Times New Roman" w:hAnsi="Times New Roman" w:cs="Times New Roman"/>
          <w:sz w:val="28"/>
          <w:szCs w:val="28"/>
          <w:lang w:eastAsia="ru-RU"/>
        </w:rPr>
        <w:t>Велопарковки</w:t>
      </w:r>
      <w:proofErr w:type="spellEnd"/>
      <w:r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устраивать для длительного хранения велосипедов в зоне объектов дорожного сервиса (гостиницы, мотели и др.).</w:t>
      </w:r>
    </w:p>
    <w:p w14:paraId="071DA978" w14:textId="12A5482E" w:rsidR="00B026C4" w:rsidRP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1.8.2.20. </w:t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По степени закрытости </w:t>
      </w:r>
      <w:proofErr w:type="spellStart"/>
      <w:r w:rsidRPr="00B026C4">
        <w:rPr>
          <w:rFonts w:ascii="Times New Roman" w:hAnsi="Times New Roman" w:cs="Times New Roman"/>
          <w:sz w:val="28"/>
          <w:szCs w:val="28"/>
          <w:lang w:eastAsia="ru-RU"/>
        </w:rPr>
        <w:t>велопарковки</w:t>
      </w:r>
      <w:proofErr w:type="spellEnd"/>
      <w:r w:rsidRPr="00B026C4">
        <w:rPr>
          <w:rFonts w:ascii="Times New Roman" w:hAnsi="Times New Roman" w:cs="Times New Roman"/>
          <w:sz w:val="28"/>
          <w:szCs w:val="28"/>
          <w:lang w:eastAsia="ru-RU"/>
        </w:rPr>
        <w:t>, как правило, разделяются на: открытые, открытые с навесом, закрытые.</w:t>
      </w:r>
    </w:p>
    <w:p w14:paraId="5359F8E2" w14:textId="0C785B64" w:rsidR="00B026C4" w:rsidRDefault="00B026C4" w:rsidP="00B026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1.8.2.21. </w:t>
      </w:r>
      <w:r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Чтобы обеспечить удобство пользования </w:t>
      </w:r>
      <w:proofErr w:type="spellStart"/>
      <w:r w:rsidRPr="00B026C4">
        <w:rPr>
          <w:rFonts w:ascii="Times New Roman" w:hAnsi="Times New Roman" w:cs="Times New Roman"/>
          <w:sz w:val="28"/>
          <w:szCs w:val="28"/>
          <w:lang w:eastAsia="ru-RU"/>
        </w:rPr>
        <w:t>велопарковками</w:t>
      </w:r>
      <w:proofErr w:type="spellEnd"/>
      <w:r w:rsidRPr="00B026C4">
        <w:rPr>
          <w:rFonts w:ascii="Times New Roman" w:hAnsi="Times New Roman" w:cs="Times New Roman"/>
          <w:sz w:val="28"/>
          <w:szCs w:val="28"/>
          <w:lang w:eastAsia="ru-RU"/>
        </w:rPr>
        <w:t xml:space="preserve"> и исключить помехи для пешеходов, следует соблюдать необходимые расстояния между стойками и другими объектами (рисунок 1).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1376" w:rsidRPr="00B026C4" w14:paraId="4660382A" w14:textId="77777777" w:rsidTr="00B026C4">
        <w:trPr>
          <w:trHeight w:val="12"/>
          <w:jc w:val="center"/>
        </w:trPr>
        <w:tc>
          <w:tcPr>
            <w:tcW w:w="9638" w:type="dxa"/>
            <w:hideMark/>
          </w:tcPr>
          <w:p w14:paraId="3B01928E" w14:textId="669CC91F" w:rsidR="00371376" w:rsidRPr="00B026C4" w:rsidRDefault="00B026C4" w:rsidP="00B026C4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1376" w:rsidRPr="00B026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71376" w:rsidRPr="00371376" w14:paraId="597B6FDE" w14:textId="77777777" w:rsidTr="00B026C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7704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372938B" wp14:editId="1D930AFF">
                  <wp:extent cx="6191250" cy="222885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F7F46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Рисунок 1 - Минимальные необходимые расстояния для создания </w:t>
      </w:r>
      <w:proofErr w:type="spellStart"/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велопарковки</w:t>
      </w:r>
      <w:proofErr w:type="spellEnd"/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942824A" w14:textId="77777777" w:rsidR="00371376" w:rsidRPr="00371376" w:rsidRDefault="00371376" w:rsidP="00371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58191" w14:textId="40C56CBF" w:rsidR="00D406B3" w:rsidRDefault="00BF45C1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1.8.2.22.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</w:p>
    <w:p w14:paraId="593A8017" w14:textId="77777777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563"/>
      </w:tblGrid>
      <w:tr w:rsidR="00371376" w:rsidRPr="00371376" w14:paraId="3197789D" w14:textId="77777777" w:rsidTr="007F377F">
        <w:trPr>
          <w:trHeight w:val="12"/>
        </w:trPr>
        <w:tc>
          <w:tcPr>
            <w:tcW w:w="2933" w:type="dxa"/>
            <w:hideMark/>
          </w:tcPr>
          <w:p w14:paraId="3450E06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3" w:type="dxa"/>
            <w:hideMark/>
          </w:tcPr>
          <w:p w14:paraId="1DBE88EC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79F44808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ADF5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6472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назначение дорог и улиц</w:t>
            </w:r>
          </w:p>
        </w:tc>
      </w:tr>
      <w:tr w:rsidR="00371376" w:rsidRPr="00371376" w14:paraId="3E849D28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7C42D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1CBCD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371376" w:rsidRPr="00371376" w14:paraId="60A1079C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DCB5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EB13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371376" w:rsidRPr="00371376" w14:paraId="69ED7C22" w14:textId="77777777" w:rsidTr="007F377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ADCA4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36FBF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14:paraId="226DD0B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6F84CBEC" w14:textId="77777777" w:rsidTr="007F377F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C01B4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2BD4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1D11AC12" w14:textId="77777777" w:rsidTr="007F377F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90093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EF6E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14:paraId="4A02E6F6" w14:textId="77777777" w:rsidR="00371376" w:rsidRPr="00371376" w:rsidRDefault="00371376" w:rsidP="00371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089"/>
        <w:gridCol w:w="1105"/>
        <w:gridCol w:w="1036"/>
        <w:gridCol w:w="820"/>
        <w:gridCol w:w="962"/>
        <w:gridCol w:w="1040"/>
        <w:gridCol w:w="974"/>
        <w:gridCol w:w="1000"/>
      </w:tblGrid>
      <w:tr w:rsidR="00371376" w:rsidRPr="00371376" w14:paraId="690869CE" w14:textId="77777777" w:rsidTr="007F377F">
        <w:trPr>
          <w:trHeight w:val="12"/>
        </w:trPr>
        <w:tc>
          <w:tcPr>
            <w:tcW w:w="1587" w:type="dxa"/>
            <w:hideMark/>
          </w:tcPr>
          <w:p w14:paraId="6C633C96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Таблица 6</w:t>
            </w:r>
          </w:p>
        </w:tc>
        <w:tc>
          <w:tcPr>
            <w:tcW w:w="1073" w:type="dxa"/>
            <w:hideMark/>
          </w:tcPr>
          <w:p w14:paraId="361842C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14:paraId="5BC7732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14:paraId="0D98D631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14:paraId="3B5DCC6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14:paraId="18783509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14:paraId="56976007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084BCA8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14:paraId="5EA48829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7E5A35BE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CFE6A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0F7F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скорость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6F59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8675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полос движения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(сумма-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</w:t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0509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ньший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0733D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льший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1E8F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ньший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радиус верти-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кальной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73249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ньший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радиус </w:t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4FC58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</w:t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</w:t>
            </w:r>
            <w:proofErr w:type="spellEnd"/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тротуара, м</w:t>
            </w:r>
          </w:p>
        </w:tc>
      </w:tr>
      <w:tr w:rsidR="00371376" w:rsidRPr="00371376" w14:paraId="7C0CB23A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CCA87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7D38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2B4E1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EC29C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CABB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5866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1998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1B726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1F47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376" w:rsidRPr="00371376" w14:paraId="1D435139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E46F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56126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CCC78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FCCD04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1FFD8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D10929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59684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315DC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A6220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3CA7AE1A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8FCB4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75446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DB0F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B624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70B0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DCF7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0D31F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1D45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C467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1376" w:rsidRPr="00371376" w14:paraId="29D16320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CEECB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D11F0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5E0A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856E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B063A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2ADA41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03BAC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20D22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B4A6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371376" w:rsidRPr="00371376" w14:paraId="5F590780" w14:textId="77777777" w:rsidTr="007F377F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D48E1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B6BBB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0D64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A1AF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A6601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8052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9E236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80AE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83A1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4D531F50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1AB7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BD8A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D2A7F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2F59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147E8B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47686D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DCD7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09DC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F1E10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376" w:rsidRPr="00371376" w14:paraId="22FB66D7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E5225F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6455FA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32BE3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79C0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9760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2FC2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B07B2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713AD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C3D61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5F97C681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50D37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8B8EB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AE33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B98A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B6F05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4EE98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10022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F055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8DF25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376" w:rsidRPr="00371376" w14:paraId="3C2A23BF" w14:textId="77777777" w:rsidTr="007F377F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7323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DF1F3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77B0D4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7554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209C8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2B9F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441E5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0C4E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ADF20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376" w:rsidRPr="00371376" w14:paraId="18AF7FBC" w14:textId="77777777" w:rsidTr="007F377F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AA3B3E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14:paraId="1FC40A58" w14:textId="77777777" w:rsidR="00371376" w:rsidRPr="00371376" w:rsidRDefault="00371376" w:rsidP="00371376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14:paraId="3ECD8A8A" w14:textId="077BBE0E" w:rsidR="00371376" w:rsidRPr="00371376" w:rsidRDefault="00BF45C1" w:rsidP="00371376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1.8.2.23. 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Поперечные уклоны элементов поперечного профиля следует принимать: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для проезжей части - минимальный - 10‰, максимальный - 30‰;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для тротуара - минимальный - 5‰, максимальный - 20‰;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для велодорожек - минимальный - 5‰, максимальный - 30‰.</w:t>
      </w:r>
    </w:p>
    <w:p w14:paraId="75799DF2" w14:textId="63326194" w:rsidR="00371376" w:rsidRPr="00371376" w:rsidRDefault="00BF45C1" w:rsidP="00371376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1.8.2.24. </w:t>
      </w:r>
      <w:r w:rsidR="00371376" w:rsidRPr="0037137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55AD34B0" w14:textId="6B02CD49" w:rsidR="00371376" w:rsidRPr="00371376" w:rsidRDefault="00BF45C1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1.8.2.25.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</w:t>
      </w:r>
      <w:r w:rsidR="00371376"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9"/>
        <w:gridCol w:w="1799"/>
      </w:tblGrid>
      <w:tr w:rsidR="00371376" w:rsidRPr="00371376" w14:paraId="19A174FA" w14:textId="77777777" w:rsidTr="007F377F">
        <w:trPr>
          <w:trHeight w:val="12"/>
        </w:trPr>
        <w:tc>
          <w:tcPr>
            <w:tcW w:w="9240" w:type="dxa"/>
            <w:hideMark/>
          </w:tcPr>
          <w:p w14:paraId="70CB33CE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14:paraId="3E8F46F2" w14:textId="77777777" w:rsidR="00371376" w:rsidRPr="00371376" w:rsidRDefault="00371376" w:rsidP="0037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76" w:rsidRPr="00371376" w14:paraId="5CF780BA" w14:textId="77777777" w:rsidTr="007F377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16419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A05A6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0,75;</w:t>
            </w:r>
          </w:p>
        </w:tc>
      </w:tr>
      <w:tr w:rsidR="00371376" w:rsidRPr="00371376" w14:paraId="2CC74F24" w14:textId="77777777" w:rsidTr="007F377F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24E18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4A9F1F" w14:textId="77777777" w:rsidR="00371376" w:rsidRPr="00371376" w:rsidRDefault="00371376" w:rsidP="003713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0,5.</w:t>
            </w:r>
          </w:p>
        </w:tc>
      </w:tr>
    </w:tbl>
    <w:p w14:paraId="7533DA9D" w14:textId="5224D4DE" w:rsidR="00371376" w:rsidRPr="00371376" w:rsidRDefault="00371376" w:rsidP="003713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1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5FB9EB22" w14:textId="233BEA08" w:rsidR="00BF45C1" w:rsidRPr="00BF45C1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1.8.2.26. </w:t>
      </w:r>
      <w:r w:rsidRPr="00BF45C1">
        <w:rPr>
          <w:rFonts w:ascii="Times New Roman" w:eastAsia="Calibri" w:hAnsi="Times New Roman" w:cs="Times New Roman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</w:r>
    </w:p>
    <w:p w14:paraId="7A7E6A10" w14:textId="77777777" w:rsidR="00BF45C1" w:rsidRPr="00BF45C1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C1">
        <w:rPr>
          <w:rFonts w:ascii="Times New Roman" w:eastAsia="Calibri" w:hAnsi="Times New Roman" w:cs="Times New Roman"/>
          <w:sz w:val="28"/>
          <w:szCs w:val="28"/>
        </w:rPr>
        <w:t>- мотоциклы и мотороллеры с колясками, мотоколяски</w:t>
      </w:r>
      <w:r w:rsidRPr="00BF45C1">
        <w:rPr>
          <w:rFonts w:ascii="Times New Roman" w:eastAsia="Calibri" w:hAnsi="Times New Roman" w:cs="Times New Roman"/>
          <w:sz w:val="28"/>
          <w:szCs w:val="28"/>
        </w:rPr>
        <w:tab/>
        <w:t>0,5;</w:t>
      </w:r>
    </w:p>
    <w:p w14:paraId="5EB7EB89" w14:textId="77777777" w:rsidR="00BF45C1" w:rsidRPr="00BF45C1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C1">
        <w:rPr>
          <w:rFonts w:ascii="Times New Roman" w:eastAsia="Calibri" w:hAnsi="Times New Roman" w:cs="Times New Roman"/>
          <w:sz w:val="28"/>
          <w:szCs w:val="28"/>
        </w:rPr>
        <w:t>- мотоциклы и мотороллеры без колясок</w:t>
      </w:r>
      <w:r w:rsidRPr="00BF45C1">
        <w:rPr>
          <w:rFonts w:ascii="Times New Roman" w:eastAsia="Calibri" w:hAnsi="Times New Roman" w:cs="Times New Roman"/>
          <w:sz w:val="28"/>
          <w:szCs w:val="28"/>
        </w:rPr>
        <w:tab/>
        <w:t>0,28;</w:t>
      </w:r>
    </w:p>
    <w:p w14:paraId="61569E43" w14:textId="066DD6F7" w:rsidR="00371376" w:rsidRPr="00371376" w:rsidRDefault="00BF45C1" w:rsidP="00BF45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C1">
        <w:rPr>
          <w:rFonts w:ascii="Times New Roman" w:eastAsia="Calibri" w:hAnsi="Times New Roman" w:cs="Times New Roman"/>
          <w:sz w:val="28"/>
          <w:szCs w:val="28"/>
        </w:rPr>
        <w:t>- мопеды и велосипеды</w:t>
      </w:r>
      <w:r w:rsidRPr="00BF45C1">
        <w:rPr>
          <w:rFonts w:ascii="Times New Roman" w:eastAsia="Calibri" w:hAnsi="Times New Roman" w:cs="Times New Roman"/>
          <w:sz w:val="28"/>
          <w:szCs w:val="28"/>
        </w:rPr>
        <w:tab/>
        <w:t>0,1</w:t>
      </w:r>
      <w:r w:rsidR="00DD01E6">
        <w:rPr>
          <w:rFonts w:ascii="Times New Roman" w:eastAsia="Calibri" w:hAnsi="Times New Roman" w:cs="Times New Roman"/>
          <w:sz w:val="28"/>
          <w:szCs w:val="28"/>
        </w:rPr>
        <w:t>»</w:t>
      </w:r>
      <w:r w:rsidRPr="00BF4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7DDB10" w14:textId="77777777" w:rsidR="00EC25CA" w:rsidRPr="00BF45C1" w:rsidRDefault="00EC25CA">
      <w:pPr>
        <w:rPr>
          <w:color w:val="000000" w:themeColor="text1"/>
          <w:sz w:val="32"/>
          <w:szCs w:val="32"/>
        </w:rPr>
      </w:pPr>
    </w:p>
    <w:sectPr w:rsidR="00EC25CA" w:rsidRPr="00BF45C1" w:rsidSect="0037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04094C"/>
    <w:rsid w:val="000E339D"/>
    <w:rsid w:val="00110824"/>
    <w:rsid w:val="002B4CF8"/>
    <w:rsid w:val="00371376"/>
    <w:rsid w:val="004979AE"/>
    <w:rsid w:val="005139C2"/>
    <w:rsid w:val="00562847"/>
    <w:rsid w:val="005D0844"/>
    <w:rsid w:val="0075533D"/>
    <w:rsid w:val="0083693C"/>
    <w:rsid w:val="00893EB9"/>
    <w:rsid w:val="008C15E1"/>
    <w:rsid w:val="009159DF"/>
    <w:rsid w:val="009256C3"/>
    <w:rsid w:val="00A23C60"/>
    <w:rsid w:val="00AF3F0B"/>
    <w:rsid w:val="00B026C4"/>
    <w:rsid w:val="00B37FE8"/>
    <w:rsid w:val="00BD76EB"/>
    <w:rsid w:val="00BF45C1"/>
    <w:rsid w:val="00CA58DF"/>
    <w:rsid w:val="00CF43EB"/>
    <w:rsid w:val="00D406B3"/>
    <w:rsid w:val="00DA740B"/>
    <w:rsid w:val="00DD01E6"/>
    <w:rsid w:val="00EC25CA"/>
    <w:rsid w:val="00F543AB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92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34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28</cp:revision>
  <cp:lastPrinted>2022-01-11T10:25:00Z</cp:lastPrinted>
  <dcterms:created xsi:type="dcterms:W3CDTF">2021-10-11T12:50:00Z</dcterms:created>
  <dcterms:modified xsi:type="dcterms:W3CDTF">2022-01-11T10:26:00Z</dcterms:modified>
</cp:coreProperties>
</file>